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8DA3" w14:textId="77777777" w:rsidR="00307D98" w:rsidRDefault="00E20255">
      <w:pPr>
        <w:spacing w:after="6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APPENDIX A-__</w:t>
      </w:r>
    </w:p>
    <w:p w14:paraId="75B56D78" w14:textId="77777777" w:rsidR="00307D98" w:rsidRDefault="00E2025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to </w:t>
      </w:r>
    </w:p>
    <w:p w14:paraId="4C358AD5" w14:textId="77777777" w:rsidR="00307D98" w:rsidRDefault="00E20255">
      <w:pPr>
        <w:spacing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User Agreement No. </w:t>
      </w:r>
      <w:r>
        <w:rPr>
          <w:b/>
          <w:sz w:val="22"/>
          <w:szCs w:val="22"/>
          <w:u w:val="single"/>
        </w:rPr>
        <w:t>     </w:t>
      </w:r>
    </w:p>
    <w:p w14:paraId="3D1BD922" w14:textId="77777777" w:rsidR="00307D98" w:rsidRDefault="00E20255">
      <w:pPr>
        <w:spacing w:after="60"/>
        <w:jc w:val="center"/>
        <w:rPr>
          <w:sz w:val="22"/>
          <w:szCs w:val="22"/>
        </w:rPr>
      </w:pPr>
      <w:r>
        <w:rPr>
          <w:sz w:val="22"/>
          <w:szCs w:val="22"/>
        </w:rPr>
        <w:t>BETWEEN</w:t>
      </w:r>
    </w:p>
    <w:p w14:paraId="7065B954" w14:textId="77777777" w:rsidR="00307D98" w:rsidRDefault="00E202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Regents of the University of California</w:t>
      </w:r>
    </w:p>
    <w:p w14:paraId="0983AC67" w14:textId="77777777" w:rsidR="00307D98" w:rsidRDefault="00E20255">
      <w:pPr>
        <w:spacing w:after="60"/>
        <w:jc w:val="center"/>
        <w:rPr>
          <w:sz w:val="22"/>
          <w:szCs w:val="22"/>
        </w:rPr>
      </w:pPr>
      <w:r>
        <w:rPr>
          <w:sz w:val="22"/>
          <w:szCs w:val="22"/>
        </w:rPr>
        <w:t>("CONTRACTOR")</w:t>
      </w:r>
    </w:p>
    <w:p w14:paraId="1B7999A7" w14:textId="77777777" w:rsidR="00307D98" w:rsidRDefault="00E20255">
      <w:pPr>
        <w:spacing w:after="60"/>
        <w:jc w:val="center"/>
        <w:rPr>
          <w:sz w:val="22"/>
          <w:szCs w:val="22"/>
        </w:rPr>
      </w:pPr>
      <w:r>
        <w:rPr>
          <w:sz w:val="22"/>
          <w:szCs w:val="22"/>
        </w:rPr>
        <w:t>Facility Operator of Ernest Orlando Lawrence Berkeley National Laboratory (“Laboratory”) under U.S. Department of Energy (“DOE”) Contract No.DE-AC02-05CH11231</w:t>
      </w:r>
    </w:p>
    <w:p w14:paraId="230851EB" w14:textId="77777777" w:rsidR="00307D98" w:rsidRDefault="00E20255">
      <w:pPr>
        <w:spacing w:after="60"/>
        <w:jc w:val="center"/>
        <w:rPr>
          <w:sz w:val="22"/>
          <w:szCs w:val="22"/>
        </w:rPr>
      </w:pPr>
      <w:r>
        <w:rPr>
          <w:sz w:val="22"/>
          <w:szCs w:val="22"/>
        </w:rPr>
        <w:t>AND</w:t>
      </w:r>
    </w:p>
    <w:p w14:paraId="113B6B55" w14:textId="77777777" w:rsidR="00307D98" w:rsidRDefault="00E202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     </w:t>
      </w:r>
    </w:p>
    <w:p w14:paraId="2F914FE1" w14:textId="77777777" w:rsidR="00307D98" w:rsidRDefault="00E20255">
      <w:pPr>
        <w:jc w:val="center"/>
        <w:rPr>
          <w:sz w:val="22"/>
          <w:szCs w:val="22"/>
        </w:rPr>
      </w:pPr>
      <w:r>
        <w:rPr>
          <w:sz w:val="22"/>
          <w:szCs w:val="22"/>
        </w:rPr>
        <w:t>(“USER”)</w:t>
      </w:r>
    </w:p>
    <w:p w14:paraId="74B246D2" w14:textId="77777777" w:rsidR="00307D98" w:rsidRDefault="00307D98">
      <w:pPr>
        <w:jc w:val="center"/>
        <w:rPr>
          <w:sz w:val="22"/>
          <w:szCs w:val="22"/>
        </w:rPr>
      </w:pPr>
    </w:p>
    <w:p w14:paraId="7653EF8E" w14:textId="77777777" w:rsidR="00307D98" w:rsidRDefault="00E2025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Pursuant to the above identified User Agreement and subject to the terms and </w:t>
      </w:r>
      <w:r>
        <w:rPr>
          <w:sz w:val="22"/>
          <w:szCs w:val="22"/>
        </w:rPr>
        <w:t>conditions stated therein, CONTRACTOR shall provide, furnish, or otherwise make available to duly authorized employees or representatives of the USER the following facilities, equipment, services, and/or materials below. USER shall flow down the applicable</w:t>
      </w:r>
      <w:r>
        <w:rPr>
          <w:sz w:val="22"/>
          <w:szCs w:val="22"/>
        </w:rPr>
        <w:t xml:space="preserve"> provisions in the User Agreement to any and all collaborators of the Work covered by this Appendix.</w:t>
      </w:r>
    </w:p>
    <w:p w14:paraId="0D1A11CD" w14:textId="77777777" w:rsidR="00307D98" w:rsidRDefault="00E202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User Facility:   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307D98" w14:paraId="22D1F478" w14:textId="77777777">
        <w:tc>
          <w:tcPr>
            <w:tcW w:w="9350" w:type="dxa"/>
          </w:tcPr>
          <w:p w14:paraId="3C2998A6" w14:textId="77777777" w:rsidR="00307D98" w:rsidRDefault="00E20255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Joint Genome Institute (“JGI”)</w:t>
            </w:r>
          </w:p>
        </w:tc>
      </w:tr>
    </w:tbl>
    <w:p w14:paraId="6B9C631A" w14:textId="77777777" w:rsidR="00307D98" w:rsidRDefault="00307D98">
      <w:pPr>
        <w:rPr>
          <w:b/>
          <w:sz w:val="22"/>
          <w:szCs w:val="22"/>
        </w:rPr>
      </w:pPr>
    </w:p>
    <w:p w14:paraId="6992CF88" w14:textId="77777777" w:rsidR="00307D98" w:rsidRDefault="00E20255">
      <w:pPr>
        <w:rPr>
          <w:b/>
          <w:sz w:val="22"/>
          <w:szCs w:val="22"/>
        </w:rPr>
      </w:pPr>
      <w:r>
        <w:rPr>
          <w:b/>
          <w:sz w:val="22"/>
          <w:szCs w:val="22"/>
        </w:rPr>
        <w:t>Scope of Work/Purpose/Proposal Description: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307D98" w14:paraId="65C88233" w14:textId="77777777">
        <w:tc>
          <w:tcPr>
            <w:tcW w:w="9350" w:type="dxa"/>
          </w:tcPr>
          <w:p w14:paraId="4030949C" w14:textId="77777777" w:rsidR="00307D98" w:rsidRDefault="00E2025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Appendix shall cover DNA Synthesis Work in accordance with JGI-approved USER proposal titled: </w:t>
            </w:r>
            <w:proofErr w:type="gramStart"/>
            <w:r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  <w:u w:val="single"/>
              </w:rPr>
              <w:t>  </w:t>
            </w:r>
            <w:proofErr w:type="gramEnd"/>
            <w:r>
              <w:rPr>
                <w:sz w:val="22"/>
                <w:szCs w:val="22"/>
                <w:u w:val="single"/>
              </w:rPr>
              <w:t>   </w:t>
            </w:r>
            <w:r>
              <w:rPr>
                <w:sz w:val="22"/>
                <w:szCs w:val="22"/>
              </w:rPr>
              <w:t>” (JGI Proposal ID: CSP-</w:t>
            </w:r>
            <w:r>
              <w:rPr>
                <w:sz w:val="22"/>
                <w:szCs w:val="22"/>
                <w:u w:val="single"/>
              </w:rPr>
              <w:t>     </w:t>
            </w:r>
            <w:r>
              <w:rPr>
                <w:sz w:val="22"/>
                <w:szCs w:val="22"/>
              </w:rPr>
              <w:t>), the final approved version of the Scope of Work hereby incorporated by reference.  USER shall be permitted to submit se</w:t>
            </w:r>
            <w:r>
              <w:rPr>
                <w:sz w:val="22"/>
                <w:szCs w:val="22"/>
              </w:rPr>
              <w:t xml:space="preserve">quencing data for synthesis by the CONTRACTOR related to this proposal.  </w:t>
            </w:r>
          </w:p>
          <w:p w14:paraId="22C1F659" w14:textId="77777777" w:rsidR="00307D98" w:rsidRDefault="00E2025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USER Principal Investigator:  </w:t>
            </w:r>
            <w:r>
              <w:rPr>
                <w:sz w:val="22"/>
                <w:szCs w:val="22"/>
                <w:u w:val="single"/>
              </w:rPr>
              <w:t>     </w:t>
            </w:r>
          </w:p>
          <w:p w14:paraId="0614675D" w14:textId="77777777" w:rsidR="00307D98" w:rsidRDefault="00E2025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Deliverables: </w:t>
            </w:r>
          </w:p>
          <w:p w14:paraId="57CE02A5" w14:textId="77777777" w:rsidR="00307D98" w:rsidRDefault="00E20255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Upon completion or termination of the project, USER agrees to deliver to DOE and CONTRACTOR a nonproprietary report describing the </w:t>
            </w:r>
            <w:r>
              <w:rPr>
                <w:sz w:val="22"/>
                <w:szCs w:val="22"/>
              </w:rPr>
              <w:t>Work performed.  Publications resulting from research conducted as a Joint Genome Institute User project must be in accordance with Article XIII of the User Agreement and carry the appropriate acknowledgment paragraph.</w:t>
            </w:r>
          </w:p>
          <w:p w14:paraId="1548660F" w14:textId="77777777" w:rsidR="00307D98" w:rsidRDefault="00E20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Period of Performance:</w:t>
            </w:r>
          </w:p>
          <w:p w14:paraId="1580196E" w14:textId="77777777" w:rsidR="00307D98" w:rsidRDefault="00E20255">
            <w:pPr>
              <w:ind w:left="72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Start date: CO</w:t>
            </w:r>
            <w:r>
              <w:rPr>
                <w:sz w:val="22"/>
                <w:szCs w:val="22"/>
              </w:rPr>
              <w:t xml:space="preserve">NTRACTOR execution date of this Appendix. </w:t>
            </w:r>
          </w:p>
          <w:p w14:paraId="6E5C4B7A" w14:textId="77777777" w:rsidR="00307D98" w:rsidRDefault="00E20255">
            <w:pPr>
              <w:spacing w:after="12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date: 36 months from CONTRACTOR execution of this Appendix</w:t>
            </w:r>
          </w:p>
        </w:tc>
      </w:tr>
    </w:tbl>
    <w:p w14:paraId="5837DA88" w14:textId="77777777" w:rsidR="00307D98" w:rsidRDefault="00307D98">
      <w:pPr>
        <w:rPr>
          <w:sz w:val="22"/>
          <w:szCs w:val="22"/>
        </w:rPr>
      </w:pPr>
    </w:p>
    <w:p w14:paraId="71C784D8" w14:textId="77777777" w:rsidR="00307D98" w:rsidRDefault="00E202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Property and Materials: 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307D98" w14:paraId="6A422592" w14:textId="77777777">
        <w:tc>
          <w:tcPr>
            <w:tcW w:w="9350" w:type="dxa"/>
          </w:tcPr>
          <w:p w14:paraId="0E4052D3" w14:textId="77777777" w:rsidR="00307D98" w:rsidRDefault="00E20255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Article V of the Agreement is modified by this Appendix to add the following clause:</w:t>
            </w:r>
          </w:p>
          <w:p w14:paraId="54B621F9" w14:textId="77777777" w:rsidR="00307D98" w:rsidRDefault="00E20255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after="120"/>
              <w:ind w:left="360" w:hanging="360"/>
              <w:jc w:val="both"/>
              <w:rPr>
                <w:sz w:val="22"/>
                <w:szCs w:val="22"/>
              </w:rPr>
            </w:pPr>
            <w:bookmarkStart w:id="0" w:name="_heading=h.3dy6vkm" w:colFirst="0" w:colLast="0"/>
            <w:bookmarkEnd w:id="0"/>
            <w:r>
              <w:rPr>
                <w:b/>
                <w:sz w:val="22"/>
                <w:szCs w:val="22"/>
              </w:rPr>
              <w:t>D.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CONTRACTOR retains title to any CONTRACTOR biological materials generated by CONTRACTOR in the course of the Work. Any biological materials provided to USER by CONTRACT</w:t>
            </w:r>
            <w:r>
              <w:rPr>
                <w:sz w:val="22"/>
                <w:szCs w:val="22"/>
              </w:rPr>
              <w:t>OR during this Agreement or as a deliverable, including permitted uses of such biological material, will be governed by a separately executed Material Transfer Agreement (MTA) between USER and CONTRACTOR.</w:t>
            </w:r>
          </w:p>
        </w:tc>
      </w:tr>
    </w:tbl>
    <w:p w14:paraId="06A84342" w14:textId="77777777" w:rsidR="00307D98" w:rsidRDefault="00307D98">
      <w:pPr>
        <w:rPr>
          <w:sz w:val="22"/>
          <w:szCs w:val="22"/>
        </w:rPr>
      </w:pPr>
    </w:p>
    <w:tbl>
      <w:tblPr>
        <w:tblStyle w:val="a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3624"/>
        <w:gridCol w:w="28"/>
        <w:gridCol w:w="230"/>
        <w:gridCol w:w="898"/>
        <w:gridCol w:w="3663"/>
      </w:tblGrid>
      <w:tr w:rsidR="00307D98" w14:paraId="51EE31E7" w14:textId="77777777"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90011" w14:textId="77777777" w:rsidR="00307D98" w:rsidRDefault="00E20255">
            <w:pPr>
              <w:rPr>
                <w:b/>
              </w:rPr>
            </w:pPr>
            <w:r>
              <w:rPr>
                <w:b/>
              </w:rPr>
              <w:t>FOR USER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42B6C" w14:textId="77777777" w:rsidR="00307D98" w:rsidRDefault="00307D98">
            <w:pPr>
              <w:jc w:val="center"/>
              <w:rPr>
                <w:b/>
              </w:rPr>
            </w:pPr>
          </w:p>
        </w:tc>
        <w:tc>
          <w:tcPr>
            <w:tcW w:w="4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29E43" w14:textId="77777777" w:rsidR="00307D98" w:rsidRDefault="00E20255">
            <w:pPr>
              <w:rPr>
                <w:b/>
              </w:rPr>
            </w:pPr>
            <w:r>
              <w:rPr>
                <w:b/>
              </w:rPr>
              <w:t>FOR CONTRACTOR</w:t>
            </w:r>
          </w:p>
        </w:tc>
      </w:tr>
      <w:tr w:rsidR="00307D98" w14:paraId="340074B2" w14:textId="77777777">
        <w:trPr>
          <w:cantSplit/>
          <w:trHeight w:val="331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80" w:type="dxa"/>
            </w:tcMar>
            <w:vAlign w:val="bottom"/>
          </w:tcPr>
          <w:p w14:paraId="39FD4249" w14:textId="77777777" w:rsidR="00307D98" w:rsidRDefault="00E20255">
            <w:pPr>
              <w:jc w:val="right"/>
            </w:pPr>
            <w:r>
              <w:t>By: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80" w:type="dxa"/>
              <w:right w:w="80" w:type="dxa"/>
            </w:tcMar>
            <w:vAlign w:val="bottom"/>
          </w:tcPr>
          <w:p w14:paraId="43E4BC6B" w14:textId="77777777" w:rsidR="00307D98" w:rsidRDefault="00307D98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80" w:type="dxa"/>
            </w:tcMar>
          </w:tcPr>
          <w:p w14:paraId="391D1CCE" w14:textId="77777777" w:rsidR="00307D98" w:rsidRDefault="00307D98">
            <w:pPr>
              <w:jc w:val="both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80" w:type="dxa"/>
            </w:tcMar>
            <w:vAlign w:val="bottom"/>
          </w:tcPr>
          <w:p w14:paraId="2CE6CCB3" w14:textId="77777777" w:rsidR="00307D98" w:rsidRDefault="00E20255">
            <w:pPr>
              <w:jc w:val="right"/>
            </w:pPr>
            <w:r>
              <w:t>By: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80" w:type="dxa"/>
              <w:right w:w="80" w:type="dxa"/>
            </w:tcMar>
            <w:vAlign w:val="bottom"/>
          </w:tcPr>
          <w:p w14:paraId="2D47BBE8" w14:textId="77777777" w:rsidR="00307D98" w:rsidRDefault="00307D98"/>
        </w:tc>
      </w:tr>
      <w:tr w:rsidR="00307D98" w14:paraId="7B384DEB" w14:textId="77777777">
        <w:trPr>
          <w:cantSplit/>
          <w:trHeight w:val="331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80" w:type="dxa"/>
            </w:tcMar>
            <w:vAlign w:val="bottom"/>
          </w:tcPr>
          <w:p w14:paraId="10899A19" w14:textId="77777777" w:rsidR="00307D98" w:rsidRDefault="00E20255">
            <w:pPr>
              <w:jc w:val="right"/>
            </w:pPr>
            <w:r>
              <w:t>Name: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80" w:type="dxa"/>
              <w:right w:w="80" w:type="dxa"/>
            </w:tcMar>
            <w:vAlign w:val="bottom"/>
          </w:tcPr>
          <w:p w14:paraId="09E964DC" w14:textId="77777777" w:rsidR="00307D98" w:rsidRDefault="00307D98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80" w:type="dxa"/>
            </w:tcMar>
          </w:tcPr>
          <w:p w14:paraId="59CF131A" w14:textId="77777777" w:rsidR="00307D98" w:rsidRDefault="00307D98">
            <w:pPr>
              <w:jc w:val="both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80" w:type="dxa"/>
            </w:tcMar>
            <w:vAlign w:val="bottom"/>
          </w:tcPr>
          <w:p w14:paraId="781CBBB6" w14:textId="77777777" w:rsidR="00307D98" w:rsidRDefault="00E20255">
            <w:pPr>
              <w:jc w:val="right"/>
            </w:pPr>
            <w:r>
              <w:t>Name: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80" w:type="dxa"/>
              <w:right w:w="80" w:type="dxa"/>
            </w:tcMar>
            <w:vAlign w:val="bottom"/>
          </w:tcPr>
          <w:p w14:paraId="015A2B35" w14:textId="77777777" w:rsidR="00307D98" w:rsidRDefault="00307D98"/>
        </w:tc>
      </w:tr>
      <w:tr w:rsidR="00307D98" w14:paraId="7F483956" w14:textId="77777777">
        <w:trPr>
          <w:cantSplit/>
          <w:trHeight w:val="331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80" w:type="dxa"/>
            </w:tcMar>
            <w:vAlign w:val="bottom"/>
          </w:tcPr>
          <w:p w14:paraId="3A121D05" w14:textId="77777777" w:rsidR="00307D98" w:rsidRDefault="00E20255">
            <w:pPr>
              <w:jc w:val="right"/>
            </w:pPr>
            <w:r>
              <w:t>Title: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80" w:type="dxa"/>
              <w:right w:w="80" w:type="dxa"/>
            </w:tcMar>
            <w:vAlign w:val="bottom"/>
          </w:tcPr>
          <w:p w14:paraId="63F0165E" w14:textId="77777777" w:rsidR="00307D98" w:rsidRDefault="00307D98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80" w:type="dxa"/>
            </w:tcMar>
          </w:tcPr>
          <w:p w14:paraId="0C96EDEA" w14:textId="77777777" w:rsidR="00307D98" w:rsidRDefault="00307D98">
            <w:pPr>
              <w:jc w:val="both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80" w:type="dxa"/>
            </w:tcMar>
            <w:vAlign w:val="bottom"/>
          </w:tcPr>
          <w:p w14:paraId="1531F4B7" w14:textId="77777777" w:rsidR="00307D98" w:rsidRDefault="00E20255">
            <w:pPr>
              <w:jc w:val="right"/>
            </w:pPr>
            <w:r>
              <w:t>Title: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80" w:type="dxa"/>
              <w:right w:w="80" w:type="dxa"/>
            </w:tcMar>
            <w:vAlign w:val="bottom"/>
          </w:tcPr>
          <w:p w14:paraId="3885C7A1" w14:textId="77777777" w:rsidR="00307D98" w:rsidRDefault="00307D98"/>
        </w:tc>
      </w:tr>
      <w:tr w:rsidR="00307D98" w14:paraId="6723A379" w14:textId="77777777">
        <w:trPr>
          <w:cantSplit/>
          <w:trHeight w:val="331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80" w:type="dxa"/>
            </w:tcMar>
            <w:vAlign w:val="bottom"/>
          </w:tcPr>
          <w:p w14:paraId="10CC8DE2" w14:textId="77777777" w:rsidR="00307D98" w:rsidRDefault="00E20255">
            <w:pPr>
              <w:jc w:val="right"/>
            </w:pPr>
            <w:r>
              <w:lastRenderedPageBreak/>
              <w:t>Date: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left w:w="80" w:type="dxa"/>
              <w:right w:w="80" w:type="dxa"/>
            </w:tcMar>
            <w:vAlign w:val="bottom"/>
          </w:tcPr>
          <w:p w14:paraId="126BD179" w14:textId="77777777" w:rsidR="00307D98" w:rsidRDefault="00307D98"/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80" w:type="dxa"/>
            </w:tcMar>
          </w:tcPr>
          <w:p w14:paraId="4D4FD58A" w14:textId="77777777" w:rsidR="00307D98" w:rsidRDefault="00307D98">
            <w:pPr>
              <w:jc w:val="both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80" w:type="dxa"/>
              <w:right w:w="80" w:type="dxa"/>
            </w:tcMar>
            <w:vAlign w:val="bottom"/>
          </w:tcPr>
          <w:p w14:paraId="0ABFED06" w14:textId="77777777" w:rsidR="00307D98" w:rsidRDefault="00E20255">
            <w:pPr>
              <w:jc w:val="right"/>
            </w:pPr>
            <w:r>
              <w:t>Date: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80" w:type="dxa"/>
              <w:right w:w="80" w:type="dxa"/>
            </w:tcMar>
            <w:vAlign w:val="bottom"/>
          </w:tcPr>
          <w:p w14:paraId="7FF4A324" w14:textId="77777777" w:rsidR="00307D98" w:rsidRDefault="00307D98"/>
        </w:tc>
      </w:tr>
    </w:tbl>
    <w:p w14:paraId="5D433B7C" w14:textId="77777777" w:rsidR="00307D98" w:rsidRDefault="00307D98">
      <w:pPr>
        <w:rPr>
          <w:sz w:val="4"/>
          <w:szCs w:val="4"/>
        </w:rPr>
      </w:pPr>
    </w:p>
    <w:sectPr w:rsidR="00307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4FF8" w14:textId="77777777" w:rsidR="00E20255" w:rsidRDefault="00E20255">
      <w:r>
        <w:separator/>
      </w:r>
    </w:p>
  </w:endnote>
  <w:endnote w:type="continuationSeparator" w:id="0">
    <w:p w14:paraId="3E40E4A7" w14:textId="77777777" w:rsidR="00E20255" w:rsidRDefault="00E2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C08A" w14:textId="77777777" w:rsidR="007E49B4" w:rsidRDefault="007E4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5F1A" w14:textId="77777777" w:rsidR="007E49B4" w:rsidRDefault="007E4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9F48" w14:textId="77777777" w:rsidR="007E49B4" w:rsidRDefault="007E4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ED63" w14:textId="77777777" w:rsidR="00E20255" w:rsidRDefault="00E20255">
      <w:r>
        <w:separator/>
      </w:r>
    </w:p>
  </w:footnote>
  <w:footnote w:type="continuationSeparator" w:id="0">
    <w:p w14:paraId="518CC688" w14:textId="77777777" w:rsidR="00E20255" w:rsidRDefault="00E2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09CE" w14:textId="77777777" w:rsidR="007E49B4" w:rsidRDefault="007E4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A997" w14:textId="10D01E89" w:rsidR="00307D98" w:rsidRDefault="00E202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7E49B4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7E49B4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71DEC637" w14:textId="77777777" w:rsidR="00307D98" w:rsidRDefault="00307D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F6F5" w14:textId="685A7A84" w:rsidR="00307D98" w:rsidRDefault="007E49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sdt>
      <w:sdtPr>
        <w:rPr>
          <w:sz w:val="16"/>
          <w:szCs w:val="16"/>
        </w:rPr>
        <w:id w:val="-1156221396"/>
        <w:docPartObj>
          <w:docPartGallery w:val="Watermarks"/>
          <w:docPartUnique/>
        </w:docPartObj>
      </w:sdtPr>
      <w:sdtContent>
        <w:r w:rsidRPr="007E49B4">
          <w:rPr>
            <w:noProof/>
            <w:sz w:val="16"/>
            <w:szCs w:val="16"/>
          </w:rPr>
          <w:pict w14:anchorId="639E568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E20255">
      <w:rPr>
        <w:sz w:val="16"/>
        <w:szCs w:val="16"/>
      </w:rPr>
      <w:t xml:space="preserve">2024 </w:t>
    </w:r>
    <w:r w:rsidR="00E20255">
      <w:rPr>
        <w:color w:val="000000"/>
        <w:sz w:val="16"/>
        <w:szCs w:val="16"/>
      </w:rPr>
      <w:t>JGI Synthesis</w:t>
    </w:r>
  </w:p>
  <w:p w14:paraId="04ABE4E2" w14:textId="77777777" w:rsidR="00307D98" w:rsidRDefault="00307D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cumentProtection w:edit="readOnly" w:enforcement="1" w:cryptProviderType="rsaAES" w:cryptAlgorithmClass="hash" w:cryptAlgorithmType="typeAny" w:cryptAlgorithmSid="14" w:cryptSpinCount="100000" w:hash="2V4Rr9OW8FAE0Q9S155PSVnkkpWX4EMc5YORyZzXr1aik2spraU+TMlQYIo7BhnCVhlPzWw1nsSpfeMdbO2teQ==" w:salt="ZO6MlcXmsH99oBDotYdTZ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98"/>
    <w:rsid w:val="00307D98"/>
    <w:rsid w:val="00352A4E"/>
    <w:rsid w:val="007E49B4"/>
    <w:rsid w:val="00E2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3B50F7"/>
  <w15:docId w15:val="{5B2190F2-C66C-49C3-8A49-20612DB4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AD3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26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28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28EA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2456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56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5699"/>
  </w:style>
  <w:style w:type="paragraph" w:styleId="CommentSubject">
    <w:name w:val="annotation subject"/>
    <w:basedOn w:val="CommentText"/>
    <w:next w:val="CommentText"/>
    <w:link w:val="CommentSubjectChar"/>
    <w:rsid w:val="00245699"/>
    <w:rPr>
      <w:b/>
      <w:bCs/>
    </w:rPr>
  </w:style>
  <w:style w:type="character" w:customStyle="1" w:styleId="CommentSubjectChar">
    <w:name w:val="Comment Subject Char"/>
    <w:link w:val="CommentSubject"/>
    <w:rsid w:val="00245699"/>
    <w:rPr>
      <w:b/>
      <w:bCs/>
    </w:rPr>
  </w:style>
  <w:style w:type="paragraph" w:styleId="List">
    <w:name w:val="List"/>
    <w:basedOn w:val="Normal"/>
    <w:rsid w:val="00016597"/>
    <w:pPr>
      <w:autoSpaceDE w:val="0"/>
      <w:autoSpaceDN w:val="0"/>
      <w:adjustRightInd w:val="0"/>
      <w:ind w:left="360" w:hanging="360"/>
    </w:pPr>
    <w:rPr>
      <w:sz w:val="22"/>
      <w:szCs w:val="20"/>
    </w:rPr>
  </w:style>
  <w:style w:type="paragraph" w:styleId="NormalIndent">
    <w:name w:val="Normal Indent"/>
    <w:basedOn w:val="Normal"/>
    <w:rsid w:val="00AE1BC4"/>
    <w:pPr>
      <w:autoSpaceDE w:val="0"/>
      <w:autoSpaceDN w:val="0"/>
      <w:adjustRightInd w:val="0"/>
      <w:ind w:left="720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AE1BC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ikHl23MHSuzbaby3inQA621RNg==">CgMxLjAyCWguM2R5NnZrbTgAciExdWNBNElIckpXdklMUG1UWXFPckFVMlVIbjlMUnU0N00=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8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JWeiner</dc:creator>
  <cp:lastModifiedBy>Chevon LeDree</cp:lastModifiedBy>
  <cp:revision>3</cp:revision>
  <dcterms:created xsi:type="dcterms:W3CDTF">2018-02-16T16:05:00Z</dcterms:created>
  <dcterms:modified xsi:type="dcterms:W3CDTF">2024-05-20T23:16:00Z</dcterms:modified>
</cp:coreProperties>
</file>